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35C89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635C89" w:rsidRPr="000162E0" w:rsidRDefault="00635C89" w:rsidP="00635C89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635C89" w:rsidRPr="000162E0" w:rsidRDefault="00635C89" w:rsidP="00635C89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D5B34C6" w14:textId="77777777" w:rsidR="00635C89" w:rsidRPr="000162E0" w:rsidRDefault="00635C89" w:rsidP="00635C89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напівзакрита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лотками</w:t>
                  </w:r>
                </w:p>
                <w:p w14:paraId="0AEB25BA" w14:textId="7F044114" w:rsidR="00635C89" w:rsidRPr="000162E0" w:rsidRDefault="00635C89" w:rsidP="00635C8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6141A276" wp14:editId="2E026EFF">
                        <wp:extent cx="1056428" cy="1771650"/>
                        <wp:effectExtent l="0" t="0" r="0" b="0"/>
                        <wp:docPr id="10" name="Рисунок 10" descr="Z:\Foto разное\Шафи\7705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Z:\Foto разное\Шафи\7705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583" cy="1790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68F638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напівзакрита</w:t>
                  </w:r>
                  <w:proofErr w:type="spellEnd"/>
                  <w:r>
                    <w:t xml:space="preserve"> з  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</w:t>
                  </w:r>
                </w:p>
                <w:p w14:paraId="0BBA840F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0D68F264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корпусу, </w:t>
                  </w:r>
                  <w:proofErr w:type="spellStart"/>
                  <w:r>
                    <w:t>закритої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відкритої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секції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висувних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. У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передбачено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— у </w:t>
                  </w:r>
                  <w:proofErr w:type="spellStart"/>
                  <w:r>
                    <w:t>закритій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комплектуватися</w:t>
                  </w:r>
                  <w:proofErr w:type="spellEnd"/>
                  <w:r>
                    <w:t xml:space="preserve"> 12-ма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. Корпус і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мм, а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 з </w:t>
                  </w:r>
                  <w:proofErr w:type="spellStart"/>
                  <w:r>
                    <w:t>одностороннім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площини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можуть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декоровані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згідно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затвердженим</w:t>
                  </w:r>
                  <w:proofErr w:type="spellEnd"/>
                  <w:r>
                    <w:t xml:space="preserve"> макетом.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в межах 0–30 мм для </w:t>
                  </w:r>
                  <w:proofErr w:type="spellStart"/>
                  <w:r>
                    <w:t>компенсації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>.</w:t>
                  </w:r>
                </w:p>
                <w:p w14:paraId="0E27AFFC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23971F3B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r>
                    <w:t>ЛДСП 18 мм</w:t>
                  </w:r>
                </w:p>
                <w:p w14:paraId="7795D540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r>
                    <w:t xml:space="preserve">ХДФ 2,5 мм, </w:t>
                  </w:r>
                  <w:proofErr w:type="spellStart"/>
                  <w:r>
                    <w:t>одностороннє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</w:p>
                <w:p w14:paraId="4A22E8A4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r>
                    <w:t>Крайка ПВХ 0,5 мм / 1 мм</w:t>
                  </w:r>
                </w:p>
                <w:p w14:paraId="3843C71A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r>
                    <w:t>Лотки — пластик (</w:t>
                  </w:r>
                  <w:proofErr w:type="spellStart"/>
                  <w:r>
                    <w:t>сірий</w:t>
                  </w:r>
                  <w:proofErr w:type="spellEnd"/>
                  <w:r>
                    <w:t>)</w:t>
                  </w:r>
                </w:p>
                <w:p w14:paraId="1B39FD06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 —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</w:p>
                <w:p w14:paraId="1AAC9B16" w14:textId="77777777" w:rsidR="00635C89" w:rsidRDefault="00635C89" w:rsidP="00635C89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фотодруку</w:t>
                  </w:r>
                  <w:proofErr w:type="spellEnd"/>
                  <w:r>
                    <w:t>)</w:t>
                  </w:r>
                </w:p>
                <w:p w14:paraId="5E69B79C" w14:textId="6AC64E8A" w:rsidR="00635C89" w:rsidRDefault="00635C89" w:rsidP="00635C89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стабільним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нормам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приклеєними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лотки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висуватись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дозволяти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вирівнювання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при </w:t>
                  </w:r>
                  <w:proofErr w:type="spellStart"/>
                  <w:r>
                    <w:t>встановленні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Необхідно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 xml:space="preserve">. 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2025-07-02T17:49:00Z</dcterms:created>
  <dcterms:modified xsi:type="dcterms:W3CDTF">2025-07-02T17:49:00Z</dcterms:modified>
</cp:coreProperties>
</file>